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-4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auto"/>
          <w:spacing w:val="-4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 w:cs="黑体"/>
          <w:color w:val="auto"/>
          <w:spacing w:val="-4"/>
          <w:sz w:val="32"/>
          <w:szCs w:val="32"/>
        </w:rPr>
        <w:t>：</w:t>
      </w:r>
    </w:p>
    <w:p>
      <w:pPr>
        <w:topLinePunct/>
        <w:snapToGrid w:val="0"/>
        <w:spacing w:line="580" w:lineRule="exact"/>
        <w:rPr>
          <w:rFonts w:hint="eastAsia" w:ascii="楷体_GB2312" w:eastAsia="楷体_GB2312" w:cs="楷体_GB2312"/>
          <w:color w:val="auto"/>
        </w:rPr>
      </w:pPr>
    </w:p>
    <w:p>
      <w:pPr>
        <w:topLinePunct/>
        <w:snapToGrid w:val="0"/>
        <w:spacing w:line="580" w:lineRule="exact"/>
        <w:rPr>
          <w:rFonts w:hint="eastAsia" w:ascii="楷体_GB2312" w:eastAsia="楷体_GB2312" w:cs="楷体_GB2312"/>
          <w:color w:val="auto"/>
        </w:rPr>
      </w:pPr>
    </w:p>
    <w:p>
      <w:pPr>
        <w:widowControl w:val="0"/>
        <w:spacing w:after="0" w:line="360" w:lineRule="auto"/>
        <w:jc w:val="center"/>
        <w:rPr>
          <w:rFonts w:hint="eastAsia" w:ascii="方正小标宋简体" w:hAnsi="华文中宋" w:eastAsia="方正小标宋简体"/>
          <w:bCs/>
          <w:color w:val="auto"/>
          <w:kern w:val="2"/>
          <w:sz w:val="48"/>
          <w:szCs w:val="48"/>
        </w:rPr>
      </w:pPr>
      <w:r>
        <w:rPr>
          <w:rFonts w:hint="eastAsia" w:ascii="方正小标宋简体" w:hAnsi="华文中宋" w:eastAsia="方正小标宋简体"/>
          <w:bCs/>
          <w:color w:val="auto"/>
          <w:kern w:val="2"/>
          <w:sz w:val="48"/>
          <w:szCs w:val="48"/>
        </w:rPr>
        <w:t>20</w:t>
      </w:r>
      <w:r>
        <w:rPr>
          <w:rFonts w:hint="eastAsia" w:ascii="方正小标宋简体" w:hAnsi="华文中宋" w:eastAsia="方正小标宋简体"/>
          <w:bCs/>
          <w:color w:val="auto"/>
          <w:kern w:val="2"/>
          <w:sz w:val="48"/>
          <w:szCs w:val="48"/>
          <w:lang w:val="en-US" w:eastAsia="zh-CN"/>
        </w:rPr>
        <w:t>23</w:t>
      </w:r>
      <w:r>
        <w:rPr>
          <w:rFonts w:hint="eastAsia" w:ascii="方正小标宋简体" w:hAnsi="华文中宋" w:eastAsia="方正小标宋简体"/>
          <w:bCs/>
          <w:color w:val="auto"/>
          <w:kern w:val="2"/>
          <w:sz w:val="48"/>
          <w:szCs w:val="48"/>
        </w:rPr>
        <w:t>年吴江区教育人才申报表</w:t>
      </w:r>
    </w:p>
    <w:p>
      <w:pPr>
        <w:topLinePunct/>
        <w:snapToGrid w:val="0"/>
        <w:spacing w:line="580" w:lineRule="exact"/>
        <w:rPr>
          <w:rFonts w:hint="eastAsia" w:ascii="仿宋_GB2312" w:eastAsia="仿宋_GB2312" w:cs="楷体_GB2312"/>
          <w:color w:val="auto"/>
          <w:sz w:val="32"/>
          <w:szCs w:val="32"/>
        </w:rPr>
      </w:pP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 w:cs="楷体_GB2312"/>
          <w:color w:val="auto"/>
          <w:sz w:val="32"/>
          <w:szCs w:val="32"/>
        </w:rPr>
        <w:t>姓</w:t>
      </w:r>
      <w:r>
        <w:rPr>
          <w:rFonts w:hint="eastAsia" w:ascii="仿宋_GB2312" w:eastAsia="仿宋_GB2312" w:cs="楷体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楷体_GB2312"/>
          <w:color w:val="auto"/>
          <w:sz w:val="32"/>
          <w:szCs w:val="32"/>
        </w:rPr>
        <w:t>名</w:t>
      </w:r>
      <w:r>
        <w:rPr>
          <w:rFonts w:hint="eastAsia" w:ascii="仿宋_GB2312" w:eastAsia="仿宋_GB2312" w:cs="楷体_GB2312"/>
          <w:color w:val="auto"/>
          <w:sz w:val="32"/>
          <w:szCs w:val="32"/>
          <w:u w:val="single"/>
        </w:rPr>
        <w:t xml:space="preserve">                  </w:t>
      </w: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</w:rPr>
      </w:pP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 w:cs="楷体_GB2312"/>
          <w:color w:val="auto"/>
          <w:sz w:val="32"/>
          <w:szCs w:val="32"/>
        </w:rPr>
        <w:t>单</w:t>
      </w:r>
      <w:r>
        <w:rPr>
          <w:rFonts w:hint="eastAsia" w:ascii="仿宋_GB2312" w:eastAsia="仿宋_GB2312" w:cs="楷体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楷体_GB2312"/>
          <w:color w:val="auto"/>
          <w:sz w:val="32"/>
          <w:szCs w:val="32"/>
        </w:rPr>
        <w:t>位</w:t>
      </w:r>
      <w:r>
        <w:rPr>
          <w:rFonts w:hint="eastAsia" w:ascii="仿宋_GB2312" w:eastAsia="仿宋_GB2312" w:cs="楷体_GB2312"/>
          <w:color w:val="auto"/>
          <w:sz w:val="32"/>
          <w:szCs w:val="32"/>
          <w:u w:val="single"/>
        </w:rPr>
        <w:t xml:space="preserve">                  </w:t>
      </w: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  <w:u w:val="single"/>
        </w:rPr>
      </w:pP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 w:cs="楷体_GB2312"/>
          <w:color w:val="auto"/>
          <w:sz w:val="32"/>
          <w:szCs w:val="32"/>
        </w:rPr>
        <w:t>学段学科</w:t>
      </w:r>
      <w:r>
        <w:rPr>
          <w:rFonts w:hint="eastAsia" w:ascii="仿宋_GB2312" w:eastAsia="仿宋_GB2312" w:cs="楷体_GB2312"/>
          <w:color w:val="auto"/>
          <w:sz w:val="32"/>
          <w:szCs w:val="32"/>
          <w:u w:val="single"/>
        </w:rPr>
        <w:t xml:space="preserve">                  </w:t>
      </w: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</w:rPr>
      </w:pP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 w:cs="楷体_GB2312"/>
          <w:color w:val="auto"/>
          <w:sz w:val="32"/>
          <w:szCs w:val="32"/>
        </w:rPr>
        <w:t>申报类型</w:t>
      </w:r>
      <w:r>
        <w:rPr>
          <w:rFonts w:hint="eastAsia" w:ascii="仿宋_GB2312" w:eastAsia="仿宋_GB2312" w:cs="楷体_GB2312"/>
          <w:color w:val="auto"/>
          <w:sz w:val="32"/>
          <w:szCs w:val="32"/>
          <w:u w:val="single"/>
        </w:rPr>
        <w:t xml:space="preserve">                  </w:t>
      </w: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  <w:u w:val="single"/>
        </w:rPr>
      </w:pP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  <w:u w:val="single"/>
        </w:rPr>
      </w:pP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eastAsia="楷体_GB2312"/>
          <w:color w:val="auto"/>
          <w:sz w:val="48"/>
          <w:lang w:val="en-US" w:eastAsia="zh-CN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eastAsia="楷体_GB2312"/>
          <w:color w:val="auto"/>
          <w:sz w:val="48"/>
        </w:rPr>
      </w:pPr>
      <w:r>
        <w:rPr>
          <w:rFonts w:hint="eastAsia" w:eastAsia="楷体_GB2312"/>
          <w:color w:val="auto"/>
          <w:sz w:val="48"/>
          <w:lang w:val="en-US" w:eastAsia="zh-CN"/>
        </w:rPr>
        <w:t>吴江区</w:t>
      </w:r>
      <w:r>
        <w:rPr>
          <w:rFonts w:hint="eastAsia" w:eastAsia="楷体_GB2312"/>
          <w:color w:val="auto"/>
          <w:sz w:val="48"/>
        </w:rPr>
        <w:t>教育局制</w:t>
      </w:r>
    </w:p>
    <w:p>
      <w:pPr>
        <w:topLinePunct/>
        <w:snapToGrid w:val="0"/>
        <w:spacing w:line="580" w:lineRule="exact"/>
        <w:ind w:firstLine="2080" w:firstLineChars="650"/>
        <w:rPr>
          <w:rFonts w:hint="eastAsia" w:ascii="仿宋_GB2312" w:eastAsia="仿宋_GB2312" w:cs="楷体_GB2312"/>
          <w:color w:val="auto"/>
          <w:sz w:val="32"/>
          <w:szCs w:val="32"/>
          <w:u w:val="single"/>
        </w:rPr>
        <w:sectPr>
          <w:headerReference r:id="rId5" w:type="default"/>
          <w:footerReference r:id="rId6" w:type="default"/>
          <w:pgSz w:w="11906" w:h="16840"/>
          <w:pgMar w:top="1560" w:right="1680" w:bottom="1600" w:left="1480" w:header="720" w:footer="720" w:gutter="0"/>
          <w:cols w:space="720" w:num="1"/>
        </w:sectPr>
      </w:pPr>
    </w:p>
    <w:p>
      <w:pPr>
        <w:kinsoku w:val="0"/>
        <w:overflowPunct w:val="0"/>
        <w:spacing w:before="8" w:line="220" w:lineRule="exact"/>
        <w:rPr>
          <w:color w:val="auto"/>
          <w:sz w:val="22"/>
          <w:szCs w:val="22"/>
        </w:rPr>
      </w:pPr>
    </w:p>
    <w:p>
      <w:pPr>
        <w:pStyle w:val="8"/>
        <w:kinsoku w:val="0"/>
        <w:overflowPunct w:val="0"/>
        <w:spacing w:line="539" w:lineRule="exact"/>
        <w:ind w:right="2"/>
        <w:jc w:val="center"/>
        <w:outlineLvl w:val="9"/>
        <w:rPr>
          <w:rFonts w:ascii="楷体_GB2312" w:eastAsia="楷体_GB2312" w:cs="楷体_GB2312"/>
          <w:color w:val="auto"/>
        </w:rPr>
      </w:pPr>
      <w:r>
        <w:rPr>
          <w:rFonts w:hint="eastAsia" w:ascii="楷体_GB2312" w:eastAsia="楷体_GB2312" w:cs="楷体_GB2312"/>
          <w:color w:val="auto"/>
        </w:rPr>
        <w:t>填</w:t>
      </w:r>
      <w:r>
        <w:rPr>
          <w:rFonts w:ascii="楷体_GB2312" w:eastAsia="楷体_GB2312" w:cs="楷体_GB2312"/>
          <w:color w:val="auto"/>
          <w:spacing w:val="-6"/>
        </w:rPr>
        <w:t xml:space="preserve"> </w:t>
      </w:r>
      <w:r>
        <w:rPr>
          <w:rFonts w:hint="eastAsia" w:ascii="楷体_GB2312" w:eastAsia="楷体_GB2312" w:cs="楷体_GB2312"/>
          <w:color w:val="auto"/>
        </w:rPr>
        <w:t>表</w:t>
      </w:r>
      <w:r>
        <w:rPr>
          <w:rFonts w:ascii="楷体_GB2312" w:eastAsia="楷体_GB2312" w:cs="楷体_GB2312"/>
          <w:color w:val="auto"/>
          <w:spacing w:val="-6"/>
        </w:rPr>
        <w:t xml:space="preserve"> </w:t>
      </w:r>
      <w:r>
        <w:rPr>
          <w:rFonts w:hint="eastAsia" w:ascii="楷体_GB2312" w:eastAsia="楷体_GB2312" w:cs="楷体_GB2312"/>
          <w:color w:val="auto"/>
        </w:rPr>
        <w:t>说</w:t>
      </w:r>
      <w:r>
        <w:rPr>
          <w:rFonts w:ascii="楷体_GB2312" w:eastAsia="楷体_GB2312" w:cs="楷体_GB2312"/>
          <w:color w:val="auto"/>
          <w:spacing w:val="-6"/>
        </w:rPr>
        <w:t xml:space="preserve"> </w:t>
      </w:r>
      <w:r>
        <w:rPr>
          <w:rFonts w:hint="eastAsia" w:ascii="楷体_GB2312" w:eastAsia="楷体_GB2312" w:cs="楷体_GB2312"/>
          <w:color w:val="auto"/>
        </w:rPr>
        <w:t>明</w:t>
      </w:r>
    </w:p>
    <w:p>
      <w:pPr>
        <w:kinsoku w:val="0"/>
        <w:overflowPunct w:val="0"/>
        <w:spacing w:before="7" w:line="190" w:lineRule="exact"/>
        <w:rPr>
          <w:color w:val="auto"/>
          <w:sz w:val="19"/>
          <w:szCs w:val="19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line="800" w:lineRule="exact"/>
        <w:ind w:firstLine="640" w:firstLineChars="200"/>
        <w:rPr>
          <w:rFonts w:ascii="楷体_GB2312" w:eastAsia="楷体_GB2312" w:cs="楷体_GB2312"/>
          <w:color w:val="auto"/>
        </w:rPr>
      </w:pPr>
      <w:r>
        <w:rPr>
          <w:rFonts w:hint="eastAsia" w:ascii="楷体_GB2312" w:eastAsia="楷体_GB2312" w:cs="楷体_GB2312"/>
          <w:color w:val="auto"/>
          <w:lang w:val="en-US" w:eastAsia="zh-CN"/>
        </w:rPr>
        <w:t>1.</w:t>
      </w:r>
      <w:r>
        <w:rPr>
          <w:rFonts w:hint="eastAsia" w:ascii="楷体_GB2312" w:eastAsia="楷体_GB2312" w:cs="楷体_GB2312"/>
          <w:color w:val="auto"/>
        </w:rPr>
        <w:t>本表供吴江区教育人才推荐人选使用，一式3份，正反面</w:t>
      </w:r>
    </w:p>
    <w:p>
      <w:pPr>
        <w:pStyle w:val="2"/>
        <w:kinsoku w:val="0"/>
        <w:overflowPunct w:val="0"/>
        <w:spacing w:line="800" w:lineRule="exact"/>
        <w:rPr>
          <w:rFonts w:ascii="楷体_GB2312" w:eastAsia="楷体_GB2312" w:cs="楷体_GB2312"/>
          <w:color w:val="auto"/>
        </w:rPr>
      </w:pPr>
      <w:r>
        <w:rPr>
          <w:rFonts w:ascii="楷体_GB2312" w:eastAsia="楷体_GB2312" w:cs="楷体_GB2312"/>
          <w:color w:val="auto"/>
        </w:rPr>
        <w:t>打印，</w:t>
      </w:r>
      <w:r>
        <w:rPr>
          <w:rFonts w:hint="eastAsia" w:ascii="楷体_GB2312" w:eastAsia="楷体_GB2312" w:cs="楷体_GB2312"/>
          <w:color w:val="auto"/>
          <w:spacing w:val="2"/>
        </w:rPr>
        <w:t>推荐人</w:t>
      </w:r>
      <w:r>
        <w:rPr>
          <w:rFonts w:hint="eastAsia" w:ascii="楷体_GB2312" w:eastAsia="楷体_GB2312" w:cs="楷体_GB2312"/>
          <w:color w:val="auto"/>
        </w:rPr>
        <w:t>选经</w:t>
      </w:r>
      <w:r>
        <w:rPr>
          <w:rFonts w:hint="eastAsia" w:ascii="楷体_GB2312" w:eastAsia="楷体_GB2312" w:cs="楷体_GB2312"/>
          <w:color w:val="auto"/>
          <w:spacing w:val="2"/>
        </w:rPr>
        <w:t>评</w:t>
      </w:r>
      <w:r>
        <w:rPr>
          <w:rFonts w:hint="eastAsia" w:ascii="楷体_GB2312" w:eastAsia="楷体_GB2312" w:cs="楷体_GB2312"/>
          <w:color w:val="auto"/>
        </w:rPr>
        <w:t>审批准</w:t>
      </w:r>
      <w:r>
        <w:rPr>
          <w:rFonts w:hint="eastAsia" w:ascii="楷体_GB2312" w:eastAsia="楷体_GB2312" w:cs="楷体_GB2312"/>
          <w:color w:val="auto"/>
          <w:spacing w:val="2"/>
        </w:rPr>
        <w:t>后</w:t>
      </w:r>
      <w:r>
        <w:rPr>
          <w:rFonts w:hint="eastAsia" w:ascii="楷体_GB2312" w:eastAsia="楷体_GB2312" w:cs="楷体_GB2312"/>
          <w:color w:val="auto"/>
          <w:spacing w:val="-59"/>
        </w:rPr>
        <w:t>，</w:t>
      </w:r>
      <w:r>
        <w:rPr>
          <w:rFonts w:hint="eastAsia" w:ascii="楷体_GB2312" w:eastAsia="楷体_GB2312" w:cs="楷体_GB2312"/>
          <w:color w:val="auto"/>
          <w:spacing w:val="2"/>
        </w:rPr>
        <w:t>本</w:t>
      </w:r>
      <w:r>
        <w:rPr>
          <w:rFonts w:hint="eastAsia" w:ascii="楷体_GB2312" w:eastAsia="楷体_GB2312" w:cs="楷体_GB2312"/>
          <w:color w:val="auto"/>
        </w:rPr>
        <w:t>表</w:t>
      </w:r>
      <w:r>
        <w:rPr>
          <w:rFonts w:ascii="楷体_GB2312" w:eastAsia="楷体_GB2312" w:cs="楷体_GB2312"/>
          <w:color w:val="auto"/>
        </w:rPr>
        <w:t>1</w:t>
      </w:r>
      <w:r>
        <w:rPr>
          <w:rFonts w:hint="eastAsia" w:ascii="楷体_GB2312" w:eastAsia="楷体_GB2312" w:cs="楷体_GB2312"/>
          <w:color w:val="auto"/>
        </w:rPr>
        <w:t>份存</w:t>
      </w:r>
      <w:r>
        <w:rPr>
          <w:rFonts w:hint="eastAsia" w:ascii="楷体_GB2312" w:eastAsia="楷体_GB2312" w:cs="楷体_GB2312"/>
          <w:color w:val="auto"/>
          <w:spacing w:val="2"/>
        </w:rPr>
        <w:t>入</w:t>
      </w:r>
      <w:r>
        <w:rPr>
          <w:rFonts w:hint="eastAsia" w:ascii="楷体_GB2312" w:eastAsia="楷体_GB2312" w:cs="楷体_GB2312"/>
          <w:color w:val="auto"/>
        </w:rPr>
        <w:t>本人</w:t>
      </w:r>
      <w:r>
        <w:rPr>
          <w:rFonts w:hint="eastAsia" w:ascii="楷体_GB2312" w:eastAsia="楷体_GB2312" w:cs="楷体_GB2312"/>
          <w:color w:val="auto"/>
          <w:spacing w:val="2"/>
        </w:rPr>
        <w:t>人</w:t>
      </w:r>
      <w:r>
        <w:rPr>
          <w:rFonts w:hint="eastAsia" w:ascii="楷体_GB2312" w:eastAsia="楷体_GB2312" w:cs="楷体_GB2312"/>
          <w:color w:val="auto"/>
        </w:rPr>
        <w:t>事档案</w:t>
      </w:r>
      <w:r>
        <w:rPr>
          <w:rFonts w:hint="eastAsia" w:ascii="楷体_GB2312" w:eastAsia="楷体_GB2312" w:cs="楷体_GB2312"/>
          <w:color w:val="auto"/>
          <w:spacing w:val="-57"/>
        </w:rPr>
        <w:t>，</w:t>
      </w:r>
      <w:r>
        <w:rPr>
          <w:rFonts w:hint="eastAsia" w:ascii="楷体_GB2312" w:eastAsia="楷体_GB2312" w:cs="楷体_GB2312"/>
          <w:color w:val="auto"/>
        </w:rPr>
        <w:t>另</w:t>
      </w:r>
      <w:r>
        <w:rPr>
          <w:rFonts w:ascii="楷体_GB2312" w:eastAsia="楷体_GB2312" w:cs="楷体_GB2312"/>
          <w:color w:val="auto"/>
        </w:rPr>
        <w:t>2</w:t>
      </w:r>
      <w:r>
        <w:rPr>
          <w:rFonts w:hint="eastAsia" w:ascii="楷体_GB2312" w:eastAsia="楷体_GB2312" w:cs="楷体_GB2312"/>
          <w:color w:val="auto"/>
        </w:rPr>
        <w:t>份分别由区教育局及学校留存。</w:t>
      </w:r>
    </w:p>
    <w:p>
      <w:pPr>
        <w:pStyle w:val="2"/>
        <w:kinsoku w:val="0"/>
        <w:overflowPunct w:val="0"/>
        <w:spacing w:before="69" w:line="800" w:lineRule="exact"/>
        <w:ind w:right="108" w:firstLine="640"/>
        <w:jc w:val="both"/>
        <w:rPr>
          <w:rFonts w:ascii="楷体_GB2312" w:eastAsia="楷体_GB2312" w:cs="楷体_GB2312"/>
          <w:color w:val="auto"/>
        </w:rPr>
      </w:pPr>
      <w:r>
        <w:rPr>
          <w:rFonts w:ascii="楷体_GB2312" w:eastAsia="楷体_GB2312" w:cs="楷体_GB2312"/>
          <w:color w:val="auto"/>
          <w:spacing w:val="1"/>
          <w:w w:val="95"/>
        </w:rPr>
        <w:t>2</w:t>
      </w:r>
      <w:r>
        <w:rPr>
          <w:rFonts w:hint="eastAsia" w:ascii="楷体_GB2312" w:eastAsia="楷体_GB2312" w:cs="楷体_GB2312"/>
          <w:color w:val="auto"/>
          <w:spacing w:val="1"/>
          <w:w w:val="95"/>
        </w:rPr>
        <w:t>．填表内容应具体、真实、具有代表性，并按要求填写。</w:t>
      </w:r>
      <w:r>
        <w:rPr>
          <w:rFonts w:hint="eastAsia" w:ascii="楷体_GB2312" w:eastAsia="楷体_GB2312" w:cs="楷体_GB2312"/>
          <w:color w:val="auto"/>
        </w:rPr>
        <w:t>表内填写不下时，可另加附页。</w:t>
      </w:r>
    </w:p>
    <w:p>
      <w:pPr>
        <w:pStyle w:val="2"/>
        <w:kinsoku w:val="0"/>
        <w:overflowPunct w:val="0"/>
        <w:spacing w:before="69" w:line="800" w:lineRule="exact"/>
        <w:ind w:left="751"/>
        <w:rPr>
          <w:rFonts w:ascii="楷体_GB2312" w:eastAsia="楷体_GB2312" w:cs="楷体_GB2312"/>
          <w:color w:val="auto"/>
        </w:rPr>
      </w:pPr>
      <w:r>
        <w:rPr>
          <w:rFonts w:ascii="楷体_GB2312" w:eastAsia="楷体_GB2312" w:cs="楷体_GB2312"/>
          <w:color w:val="auto"/>
        </w:rPr>
        <w:t>3</w:t>
      </w:r>
      <w:r>
        <w:rPr>
          <w:rFonts w:hint="eastAsia" w:ascii="楷体_GB2312" w:eastAsia="楷体_GB2312" w:cs="楷体_GB2312"/>
          <w:color w:val="auto"/>
        </w:rPr>
        <w:t>．申报类别为吴江教育名家、吴江教育领军人才、吴江</w:t>
      </w:r>
      <w:r>
        <w:rPr>
          <w:rFonts w:ascii="楷体_GB2312" w:eastAsia="楷体_GB2312" w:cs="楷体_GB2312"/>
          <w:color w:val="auto"/>
        </w:rPr>
        <w:t>教</w:t>
      </w:r>
    </w:p>
    <w:p>
      <w:pPr>
        <w:pStyle w:val="2"/>
        <w:kinsoku w:val="0"/>
        <w:overflowPunct w:val="0"/>
        <w:spacing w:before="69" w:line="800" w:lineRule="exact"/>
        <w:rPr>
          <w:rFonts w:hint="eastAsia" w:ascii="楷体_GB2312" w:eastAsia="楷体_GB2312" w:cs="楷体_GB2312"/>
          <w:color w:val="auto"/>
        </w:rPr>
      </w:pPr>
      <w:r>
        <w:rPr>
          <w:rFonts w:ascii="楷体_GB2312" w:eastAsia="楷体_GB2312" w:cs="楷体_GB2312"/>
          <w:color w:val="auto"/>
        </w:rPr>
        <w:t>育青年拔尖人才</w:t>
      </w:r>
      <w:r>
        <w:rPr>
          <w:rFonts w:hint="eastAsia" w:ascii="楷体_GB2312" w:eastAsia="楷体_GB2312" w:cs="楷体_GB2312"/>
          <w:color w:val="auto"/>
        </w:rPr>
        <w:t>。</w:t>
      </w:r>
    </w:p>
    <w:p>
      <w:pPr>
        <w:pStyle w:val="2"/>
        <w:kinsoku w:val="0"/>
        <w:overflowPunct w:val="0"/>
        <w:spacing w:line="800" w:lineRule="exact"/>
        <w:ind w:right="108" w:firstLine="640"/>
        <w:jc w:val="both"/>
        <w:rPr>
          <w:rFonts w:ascii="楷体_GB2312" w:eastAsia="楷体_GB2312" w:cs="楷体_GB2312"/>
          <w:color w:val="auto"/>
        </w:rPr>
      </w:pPr>
      <w:r>
        <w:rPr>
          <w:rFonts w:ascii="楷体_GB2312" w:eastAsia="楷体_GB2312" w:cs="楷体_GB2312"/>
          <w:color w:val="auto"/>
          <w:spacing w:val="1"/>
          <w:w w:val="95"/>
        </w:rPr>
        <w:t>4</w:t>
      </w:r>
      <w:r>
        <w:rPr>
          <w:rFonts w:hint="eastAsia" w:ascii="楷体_GB2312" w:eastAsia="楷体_GB2312" w:cs="楷体_GB2312"/>
          <w:color w:val="auto"/>
          <w:spacing w:val="1"/>
          <w:w w:val="95"/>
        </w:rPr>
        <w:t>．获得奖励的名称，要按照获奖证书上的名称规范填写；填</w:t>
      </w:r>
      <w:r>
        <w:rPr>
          <w:rFonts w:hint="eastAsia" w:ascii="楷体_GB2312" w:eastAsia="楷体_GB2312" w:cs="楷体_GB2312"/>
          <w:color w:val="auto"/>
          <w:w w:val="95"/>
        </w:rPr>
        <w:t>写批</w:t>
      </w:r>
      <w:r>
        <w:rPr>
          <w:rFonts w:hint="eastAsia" w:ascii="楷体_GB2312" w:eastAsia="楷体_GB2312" w:cs="楷体_GB2312"/>
          <w:color w:val="auto"/>
          <w:spacing w:val="1"/>
          <w:w w:val="95"/>
        </w:rPr>
        <w:t>准</w:t>
      </w:r>
      <w:r>
        <w:rPr>
          <w:rFonts w:hint="eastAsia" w:ascii="楷体_GB2312" w:eastAsia="楷体_GB2312" w:cs="楷体_GB2312"/>
          <w:color w:val="auto"/>
          <w:w w:val="95"/>
        </w:rPr>
        <w:t>或授予</w:t>
      </w:r>
      <w:r>
        <w:rPr>
          <w:rFonts w:hint="eastAsia" w:ascii="楷体_GB2312" w:eastAsia="楷体_GB2312" w:cs="楷体_GB2312"/>
          <w:color w:val="auto"/>
          <w:spacing w:val="1"/>
          <w:w w:val="95"/>
        </w:rPr>
        <w:t>荣</w:t>
      </w:r>
      <w:r>
        <w:rPr>
          <w:rFonts w:hint="eastAsia" w:ascii="楷体_GB2312" w:eastAsia="楷体_GB2312" w:cs="楷体_GB2312"/>
          <w:color w:val="auto"/>
          <w:w w:val="95"/>
        </w:rPr>
        <w:t>誉称</w:t>
      </w:r>
      <w:r>
        <w:rPr>
          <w:rFonts w:hint="eastAsia" w:ascii="楷体_GB2312" w:eastAsia="楷体_GB2312" w:cs="楷体_GB2312"/>
          <w:color w:val="auto"/>
          <w:spacing w:val="1"/>
          <w:w w:val="95"/>
        </w:rPr>
        <w:t>号</w:t>
      </w:r>
      <w:r>
        <w:rPr>
          <w:rFonts w:hint="eastAsia" w:ascii="楷体_GB2312" w:eastAsia="楷体_GB2312" w:cs="楷体_GB2312"/>
          <w:color w:val="auto"/>
          <w:w w:val="95"/>
        </w:rPr>
        <w:t>的机</w:t>
      </w:r>
      <w:r>
        <w:rPr>
          <w:rFonts w:hint="eastAsia" w:ascii="楷体_GB2312" w:eastAsia="楷体_GB2312" w:cs="楷体_GB2312"/>
          <w:color w:val="auto"/>
          <w:spacing w:val="-38"/>
          <w:w w:val="95"/>
        </w:rPr>
        <w:t>关</w:t>
      </w:r>
      <w:r>
        <w:rPr>
          <w:rFonts w:hint="eastAsia" w:ascii="楷体_GB2312" w:eastAsia="楷体_GB2312" w:cs="楷体_GB2312"/>
          <w:color w:val="auto"/>
          <w:spacing w:val="1"/>
          <w:w w:val="95"/>
        </w:rPr>
        <w:t>（</w:t>
      </w:r>
      <w:r>
        <w:rPr>
          <w:rFonts w:hint="eastAsia" w:ascii="楷体_GB2312" w:eastAsia="楷体_GB2312" w:cs="楷体_GB2312"/>
          <w:color w:val="auto"/>
          <w:w w:val="95"/>
        </w:rPr>
        <w:t>单位</w:t>
      </w:r>
      <w:r>
        <w:rPr>
          <w:rFonts w:hint="eastAsia" w:ascii="楷体_GB2312" w:eastAsia="楷体_GB2312" w:cs="楷体_GB2312"/>
          <w:color w:val="auto"/>
          <w:spacing w:val="-35"/>
          <w:w w:val="95"/>
        </w:rPr>
        <w:t>）</w:t>
      </w:r>
      <w:r>
        <w:rPr>
          <w:rFonts w:hint="eastAsia" w:ascii="楷体_GB2312" w:eastAsia="楷体_GB2312" w:cs="楷体_GB2312"/>
          <w:color w:val="auto"/>
          <w:w w:val="95"/>
        </w:rPr>
        <w:t>名称</w:t>
      </w:r>
      <w:r>
        <w:rPr>
          <w:rFonts w:hint="eastAsia" w:ascii="楷体_GB2312" w:eastAsia="楷体_GB2312" w:cs="楷体_GB2312"/>
          <w:color w:val="auto"/>
          <w:spacing w:val="-35"/>
          <w:w w:val="95"/>
        </w:rPr>
        <w:t>，</w:t>
      </w:r>
      <w:r>
        <w:rPr>
          <w:rFonts w:hint="eastAsia" w:ascii="楷体_GB2312" w:eastAsia="楷体_GB2312" w:cs="楷体_GB2312"/>
          <w:color w:val="auto"/>
          <w:w w:val="95"/>
        </w:rPr>
        <w:t>以</w:t>
      </w:r>
      <w:r>
        <w:rPr>
          <w:rFonts w:hint="eastAsia" w:ascii="楷体_GB2312" w:eastAsia="楷体_GB2312" w:cs="楷体_GB2312"/>
          <w:color w:val="auto"/>
          <w:spacing w:val="1"/>
          <w:w w:val="95"/>
        </w:rPr>
        <w:t>荣</w:t>
      </w:r>
      <w:r>
        <w:rPr>
          <w:rFonts w:hint="eastAsia" w:ascii="楷体_GB2312" w:eastAsia="楷体_GB2312" w:cs="楷体_GB2312"/>
          <w:color w:val="auto"/>
          <w:w w:val="95"/>
        </w:rPr>
        <w:t>誉证</w:t>
      </w:r>
      <w:r>
        <w:rPr>
          <w:rFonts w:hint="eastAsia" w:ascii="楷体_GB2312" w:eastAsia="楷体_GB2312" w:cs="楷体_GB2312"/>
          <w:color w:val="auto"/>
          <w:spacing w:val="1"/>
          <w:w w:val="95"/>
        </w:rPr>
        <w:t>书</w:t>
      </w:r>
      <w:r>
        <w:rPr>
          <w:rFonts w:hint="eastAsia" w:ascii="楷体_GB2312" w:eastAsia="楷体_GB2312" w:cs="楷体_GB2312"/>
          <w:color w:val="auto"/>
          <w:w w:val="95"/>
        </w:rPr>
        <w:t>上的</w:t>
      </w:r>
      <w:r>
        <w:rPr>
          <w:rFonts w:hint="eastAsia" w:ascii="楷体_GB2312" w:eastAsia="楷体_GB2312" w:cs="楷体_GB2312"/>
          <w:color w:val="auto"/>
        </w:rPr>
        <w:t>机关（单位）为准。</w:t>
      </w:r>
    </w:p>
    <w:p>
      <w:pPr>
        <w:pStyle w:val="2"/>
        <w:kinsoku w:val="0"/>
        <w:overflowPunct w:val="0"/>
        <w:spacing w:line="800" w:lineRule="exact"/>
        <w:ind w:right="108" w:firstLine="640"/>
        <w:jc w:val="both"/>
        <w:rPr>
          <w:rFonts w:ascii="楷体_GB2312" w:eastAsia="楷体_GB2312" w:cs="楷体_GB2312"/>
          <w:color w:val="auto"/>
        </w:rPr>
        <w:sectPr>
          <w:pgSz w:w="11906" w:h="16840"/>
          <w:pgMar w:top="1560" w:right="1360" w:bottom="1600" w:left="1480" w:header="0" w:footer="1407" w:gutter="0"/>
          <w:cols w:space="720" w:num="1"/>
        </w:sectPr>
      </w:pPr>
    </w:p>
    <w:p>
      <w:pPr>
        <w:pStyle w:val="2"/>
        <w:kinsoku w:val="0"/>
        <w:overflowPunct w:val="0"/>
        <w:spacing w:before="5"/>
        <w:rPr>
          <w:color w:val="auto"/>
          <w:sz w:val="12"/>
          <w:szCs w:val="12"/>
        </w:rPr>
      </w:pPr>
      <w:r>
        <w:rPr>
          <w:rFonts w:hint="eastAsia" w:ascii="黑体" w:eastAsia="黑体" w:cs="黑体"/>
          <w:color w:val="auto"/>
        </w:rPr>
        <w:t>一、基本情况</w:t>
      </w:r>
    </w:p>
    <w:tbl>
      <w:tblPr>
        <w:tblStyle w:val="6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956"/>
        <w:gridCol w:w="24"/>
        <w:gridCol w:w="273"/>
        <w:gridCol w:w="1334"/>
        <w:gridCol w:w="871"/>
        <w:gridCol w:w="33"/>
        <w:gridCol w:w="837"/>
        <w:gridCol w:w="9"/>
        <w:gridCol w:w="1014"/>
        <w:gridCol w:w="110"/>
        <w:gridCol w:w="112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8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vMerge w:val="restart"/>
            <w:noWrap w:val="0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2寸免冠照片</w:t>
            </w:r>
          </w:p>
          <w:p>
            <w:pPr>
              <w:pStyle w:val="3"/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（只需电子照片，不要贴纸质照片）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现任行政职务及时间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教    龄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  <w:t>职称聘任时间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最高学历</w:t>
            </w:r>
          </w:p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（学位）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毕业学校及专业</w:t>
            </w:r>
          </w:p>
        </w:tc>
        <w:tc>
          <w:tcPr>
            <w:tcW w:w="4001" w:type="dxa"/>
            <w:gridSpan w:val="7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近五年年度考核结果</w:t>
            </w:r>
          </w:p>
        </w:tc>
        <w:tc>
          <w:tcPr>
            <w:tcW w:w="7588" w:type="dxa"/>
            <w:gridSpan w:val="11"/>
            <w:noWrap w:val="0"/>
            <w:vAlign w:val="center"/>
          </w:tcPr>
          <w:p>
            <w:pPr>
              <w:pStyle w:val="3"/>
              <w:jc w:val="both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201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年（     ），201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 xml:space="preserve">年（  </w:t>
            </w: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），20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年（     ）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  <w:t>，</w:t>
            </w:r>
          </w:p>
          <w:p>
            <w:pPr>
              <w:pStyle w:val="3"/>
              <w:jc w:val="both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年（     ）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年（     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14" w:type="dxa"/>
            <w:vMerge w:val="restart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（从初中毕业后填起）主要学习经历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学制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714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714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714" w:type="dxa"/>
            <w:vMerge w:val="continue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714" w:type="dxa"/>
            <w:vMerge w:val="continue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714" w:type="dxa"/>
            <w:vMerge w:val="continue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302" w:type="dxa"/>
            <w:gridSpan w:val="1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从事教育教学工作主要简历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起止时间（以学年计，从任教之初起填）</w:t>
            </w: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任教学校及行政职务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任教年级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任教学科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周课时数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</w:rPr>
              <w:t>本校同学科一线教师周课时数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301" w:type="dxa"/>
            <w:gridSpan w:val="5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近五年教学课时平均数（20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-20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年）</w:t>
            </w:r>
          </w:p>
        </w:tc>
        <w:tc>
          <w:tcPr>
            <w:tcW w:w="4001" w:type="dxa"/>
            <w:gridSpan w:val="7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二、个人所获荣誉</w:t>
      </w:r>
    </w:p>
    <w:tbl>
      <w:tblPr>
        <w:tblStyle w:val="6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4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255"/>
        <w:gridCol w:w="1260"/>
        <w:gridCol w:w="2520"/>
        <w:gridCol w:w="98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restart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获区级及以上综合性表彰奖励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荣誉称号或奖励名称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颁奖单位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restart"/>
            <w:noWrap w:val="0"/>
            <w:textDirection w:val="tbRlV"/>
            <w:vAlign w:val="center"/>
          </w:tcPr>
          <w:p>
            <w:pPr>
              <w:pStyle w:val="3"/>
              <w:ind w:left="113" w:right="113" w:firstLine="480" w:firstLineChars="200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 xml:space="preserve">   骨干</w:t>
            </w: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>称号及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教学</w:t>
            </w: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>业务获奖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（基本功</w:t>
            </w: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>、优质课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等）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项目</w:t>
            </w: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主办</w:t>
            </w: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4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noWrap w:val="0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113"/>
        <w:rPr>
          <w:rFonts w:hint="eastAsia" w:ascii="宋体" w:hAnsi="宋体"/>
          <w:color w:val="auto"/>
          <w:szCs w:val="28"/>
        </w:rPr>
      </w:pPr>
    </w:p>
    <w:p>
      <w:pPr>
        <w:spacing w:line="400" w:lineRule="exact"/>
        <w:ind w:right="113" w:firstLine="160"/>
        <w:rPr>
          <w:rFonts w:ascii="黑体" w:eastAsia="黑体"/>
          <w:bCs/>
          <w:color w:val="auto"/>
          <w:sz w:val="32"/>
        </w:rPr>
      </w:pPr>
    </w:p>
    <w:p>
      <w:pPr>
        <w:spacing w:line="400" w:lineRule="exact"/>
        <w:ind w:right="113" w:firstLine="160"/>
        <w:rPr>
          <w:rFonts w:ascii="宋体" w:hAnsi="宋体"/>
          <w:color w:val="auto"/>
          <w:szCs w:val="28"/>
        </w:rPr>
      </w:pPr>
      <w:r>
        <w:rPr>
          <w:rFonts w:hint="eastAsia" w:ascii="黑体" w:eastAsia="黑体"/>
          <w:bCs/>
          <w:color w:val="auto"/>
          <w:sz w:val="32"/>
        </w:rPr>
        <w:t>三、近5年学校集体</w:t>
      </w:r>
      <w:r>
        <w:rPr>
          <w:rFonts w:ascii="黑体" w:eastAsia="黑体"/>
          <w:bCs/>
          <w:color w:val="auto"/>
          <w:sz w:val="32"/>
        </w:rPr>
        <w:t>荣誉获奖</w:t>
      </w:r>
      <w:r>
        <w:rPr>
          <w:rFonts w:hint="eastAsia" w:ascii="黑体" w:eastAsia="黑体"/>
          <w:bCs/>
          <w:color w:val="auto"/>
          <w:sz w:val="32"/>
        </w:rPr>
        <w:t>情况（申报</w:t>
      </w:r>
      <w:r>
        <w:rPr>
          <w:rFonts w:ascii="黑体" w:eastAsia="黑体"/>
          <w:bCs/>
          <w:color w:val="auto"/>
          <w:sz w:val="32"/>
        </w:rPr>
        <w:t>管理类名家填写</w:t>
      </w:r>
      <w:r>
        <w:rPr>
          <w:rFonts w:hint="eastAsia" w:ascii="黑体" w:eastAsia="黑体"/>
          <w:bCs/>
          <w:color w:val="auto"/>
          <w:sz w:val="32"/>
        </w:rPr>
        <w:t>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3437"/>
        <w:gridCol w:w="34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荣誉称号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颁发</w:t>
            </w:r>
            <w:r>
              <w:rPr>
                <w:rFonts w:ascii="宋体" w:hAnsi="宋体"/>
                <w:color w:val="auto"/>
                <w:szCs w:val="21"/>
              </w:rPr>
              <w:t>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400" w:lineRule="exact"/>
        <w:ind w:right="113" w:firstLine="160"/>
        <w:rPr>
          <w:rFonts w:ascii="黑体" w:eastAsia="黑体"/>
          <w:bCs/>
          <w:color w:val="auto"/>
          <w:sz w:val="32"/>
        </w:rPr>
      </w:pPr>
    </w:p>
    <w:p>
      <w:pPr>
        <w:spacing w:line="400" w:lineRule="exact"/>
        <w:ind w:right="113" w:firstLine="160"/>
        <w:rPr>
          <w:rFonts w:ascii="黑体" w:eastAsia="黑体"/>
          <w:bCs/>
          <w:color w:val="auto"/>
          <w:sz w:val="32"/>
        </w:rPr>
      </w:pPr>
      <w:r>
        <w:rPr>
          <w:rFonts w:hint="eastAsia" w:ascii="黑体" w:eastAsia="黑体"/>
          <w:bCs/>
          <w:color w:val="auto"/>
          <w:sz w:val="32"/>
        </w:rPr>
        <w:t>四、近5年开设区级及</w:t>
      </w:r>
      <w:r>
        <w:rPr>
          <w:rFonts w:ascii="黑体" w:eastAsia="黑体"/>
          <w:bCs/>
          <w:color w:val="auto"/>
          <w:sz w:val="32"/>
        </w:rPr>
        <w:t>以上</w:t>
      </w:r>
      <w:r>
        <w:rPr>
          <w:rFonts w:hint="eastAsia" w:ascii="黑体" w:eastAsia="黑体"/>
          <w:bCs/>
          <w:color w:val="auto"/>
          <w:sz w:val="32"/>
        </w:rPr>
        <w:t>公开课（专题讲座）情况</w:t>
      </w:r>
    </w:p>
    <w:p>
      <w:pPr>
        <w:spacing w:line="400" w:lineRule="exact"/>
        <w:ind w:right="113" w:firstLine="640" w:firstLineChars="200"/>
        <w:rPr>
          <w:rFonts w:hint="eastAsia" w:ascii="宋体" w:hAnsi="宋体"/>
          <w:color w:val="auto"/>
          <w:szCs w:val="28"/>
        </w:rPr>
      </w:pPr>
      <w:r>
        <w:rPr>
          <w:rFonts w:hint="eastAsia" w:ascii="黑体" w:eastAsia="黑体"/>
          <w:bCs/>
          <w:color w:val="auto"/>
          <w:sz w:val="32"/>
        </w:rPr>
        <w:t>（每年</w:t>
      </w:r>
      <w:r>
        <w:rPr>
          <w:rFonts w:ascii="黑体" w:eastAsia="黑体"/>
          <w:bCs/>
          <w:color w:val="auto"/>
          <w:sz w:val="32"/>
        </w:rPr>
        <w:t>限报</w:t>
      </w:r>
      <w:r>
        <w:rPr>
          <w:rFonts w:hint="eastAsia" w:ascii="黑体" w:eastAsia="黑体"/>
          <w:bCs/>
          <w:color w:val="auto"/>
          <w:sz w:val="32"/>
        </w:rPr>
        <w:t>3次按年份</w:t>
      </w:r>
      <w:r>
        <w:rPr>
          <w:rFonts w:ascii="黑体" w:eastAsia="黑体"/>
          <w:bCs/>
          <w:color w:val="auto"/>
          <w:sz w:val="32"/>
        </w:rPr>
        <w:t>排序</w:t>
      </w:r>
      <w:r>
        <w:rPr>
          <w:rFonts w:hint="eastAsia" w:ascii="黑体" w:eastAsia="黑体"/>
          <w:bCs/>
          <w:color w:val="auto"/>
          <w:sz w:val="32"/>
        </w:rPr>
        <w:t>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086"/>
        <w:gridCol w:w="2084"/>
        <w:gridCol w:w="2347"/>
        <w:gridCol w:w="14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内容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组织部门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听讲人数或范围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pStyle w:val="3"/>
        <w:spacing w:line="0" w:lineRule="atLeast"/>
        <w:rPr>
          <w:rFonts w:hint="eastAsia" w:ascii="黑体" w:eastAsia="黑体"/>
          <w:bCs/>
          <w:color w:val="auto"/>
          <w:sz w:val="32"/>
        </w:rPr>
      </w:pPr>
    </w:p>
    <w:p>
      <w:pPr>
        <w:pStyle w:val="3"/>
        <w:spacing w:line="0" w:lineRule="atLeast"/>
        <w:rPr>
          <w:rFonts w:ascii="黑体" w:eastAsia="黑体"/>
          <w:bCs/>
          <w:color w:val="auto"/>
          <w:sz w:val="32"/>
        </w:rPr>
      </w:pPr>
      <w:r>
        <w:rPr>
          <w:rFonts w:hint="eastAsia" w:ascii="黑体" w:eastAsia="黑体"/>
          <w:bCs/>
          <w:color w:val="auto"/>
          <w:sz w:val="32"/>
        </w:rPr>
        <w:t>五、近5年个人教育科研情况</w:t>
      </w:r>
    </w:p>
    <w:p>
      <w:pPr>
        <w:pStyle w:val="3"/>
        <w:spacing w:line="0" w:lineRule="atLeast"/>
        <w:ind w:firstLine="280" w:firstLineChars="100"/>
        <w:rPr>
          <w:rFonts w:ascii="黑体" w:eastAsia="黑体"/>
          <w:bCs/>
          <w:color w:val="auto"/>
          <w:sz w:val="32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近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5</w:t>
      </w:r>
      <w:r>
        <w:rPr>
          <w:rFonts w:ascii="Times New Roman" w:hAnsi="Times New Roman" w:eastAsia="仿宋_GB2312"/>
          <w:color w:val="auto"/>
          <w:sz w:val="28"/>
          <w:szCs w:val="28"/>
        </w:rPr>
        <w:t>年来发表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或</w:t>
      </w:r>
      <w:r>
        <w:rPr>
          <w:rFonts w:ascii="Times New Roman" w:hAnsi="Times New Roman" w:eastAsia="仿宋_GB2312"/>
          <w:color w:val="auto"/>
          <w:sz w:val="28"/>
          <w:szCs w:val="28"/>
        </w:rPr>
        <w:t>出版的论文、论著、教材（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限报5篇），</w:t>
      </w:r>
      <w:r>
        <w:rPr>
          <w:rFonts w:hint="eastAsia" w:ascii="Times New Roman" w:hAnsi="Times New Roman" w:eastAsia="仿宋_GB2312"/>
          <w:b/>
          <w:color w:val="auto"/>
          <w:sz w:val="28"/>
          <w:szCs w:val="28"/>
        </w:rPr>
        <w:t>另附新闻</w:t>
      </w:r>
      <w:r>
        <w:rPr>
          <w:rFonts w:ascii="Times New Roman" w:hAnsi="Times New Roman" w:eastAsia="仿宋_GB2312"/>
          <w:b/>
          <w:color w:val="auto"/>
          <w:sz w:val="28"/>
          <w:szCs w:val="28"/>
        </w:rPr>
        <w:t>出版总署打印页和</w:t>
      </w:r>
      <w:r>
        <w:rPr>
          <w:rFonts w:hint="eastAsia" w:ascii="Times New Roman" w:hAnsi="Times New Roman" w:eastAsia="仿宋_GB2312"/>
          <w:b/>
          <w:color w:val="auto"/>
          <w:sz w:val="28"/>
          <w:szCs w:val="28"/>
        </w:rPr>
        <w:t>知网查询页。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2866"/>
        <w:gridCol w:w="3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论文、著作名称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出版、发表时间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出版社、期刊名称或鉴定部门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4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4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4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4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4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/>
          <w:color w:val="auto"/>
          <w:szCs w:val="28"/>
        </w:rPr>
      </w:pPr>
      <w:r>
        <w:rPr>
          <w:rFonts w:hint="eastAsia" w:ascii="黑体" w:eastAsia="黑体"/>
          <w:bCs/>
          <w:color w:val="auto"/>
          <w:sz w:val="32"/>
        </w:rPr>
        <w:t>六、近5年</w:t>
      </w:r>
      <w:r>
        <w:rPr>
          <w:rFonts w:ascii="黑体" w:eastAsia="黑体"/>
          <w:bCs/>
          <w:color w:val="auto"/>
          <w:sz w:val="32"/>
        </w:rPr>
        <w:t>主持</w:t>
      </w:r>
      <w:r>
        <w:rPr>
          <w:rFonts w:hint="eastAsia" w:ascii="黑体" w:eastAsia="黑体"/>
          <w:bCs/>
          <w:color w:val="auto"/>
          <w:sz w:val="32"/>
        </w:rPr>
        <w:t>大市级</w:t>
      </w:r>
      <w:r>
        <w:rPr>
          <w:rFonts w:ascii="黑体" w:eastAsia="黑体"/>
          <w:bCs/>
          <w:color w:val="auto"/>
          <w:sz w:val="32"/>
        </w:rPr>
        <w:t>课题或</w:t>
      </w:r>
      <w:r>
        <w:rPr>
          <w:rFonts w:hint="eastAsia" w:ascii="黑体" w:eastAsia="黑体"/>
          <w:bCs/>
          <w:color w:val="auto"/>
          <w:sz w:val="32"/>
        </w:rPr>
        <w:t>核心参与</w:t>
      </w:r>
      <w:r>
        <w:rPr>
          <w:rFonts w:ascii="黑体" w:eastAsia="黑体"/>
          <w:bCs/>
          <w:color w:val="auto"/>
          <w:sz w:val="32"/>
        </w:rPr>
        <w:t>省级以上课题情况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133"/>
        <w:gridCol w:w="1823"/>
        <w:gridCol w:w="2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课题名称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主管部门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立项时间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完成情况及署名位次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400" w:lineRule="exact"/>
        <w:rPr>
          <w:rFonts w:ascii="黑体" w:eastAsia="黑体"/>
          <w:bCs/>
          <w:color w:val="auto"/>
          <w:sz w:val="30"/>
          <w:szCs w:val="30"/>
        </w:rPr>
      </w:pPr>
      <w:r>
        <w:rPr>
          <w:rFonts w:hint="eastAsia" w:ascii="黑体" w:eastAsia="黑体"/>
          <w:bCs/>
          <w:color w:val="auto"/>
          <w:sz w:val="32"/>
        </w:rPr>
        <w:t>七、</w:t>
      </w:r>
      <w:r>
        <w:rPr>
          <w:rFonts w:ascii="黑体" w:eastAsia="黑体"/>
          <w:bCs/>
          <w:color w:val="auto"/>
          <w:sz w:val="30"/>
          <w:szCs w:val="30"/>
        </w:rPr>
        <w:t>个人荣获</w:t>
      </w:r>
      <w:r>
        <w:rPr>
          <w:rFonts w:hint="eastAsia" w:ascii="黑体" w:eastAsia="黑体"/>
          <w:bCs/>
          <w:color w:val="auto"/>
          <w:sz w:val="30"/>
          <w:szCs w:val="30"/>
        </w:rPr>
        <w:t>大市</w:t>
      </w:r>
      <w:r>
        <w:rPr>
          <w:rFonts w:ascii="黑体" w:eastAsia="黑体"/>
          <w:bCs/>
          <w:color w:val="auto"/>
          <w:sz w:val="30"/>
          <w:szCs w:val="30"/>
        </w:rPr>
        <w:t>级</w:t>
      </w:r>
      <w:r>
        <w:rPr>
          <w:rFonts w:hint="eastAsia" w:ascii="黑体" w:eastAsia="黑体"/>
          <w:bCs/>
          <w:color w:val="auto"/>
          <w:sz w:val="30"/>
          <w:szCs w:val="30"/>
        </w:rPr>
        <w:t>及</w:t>
      </w:r>
      <w:r>
        <w:rPr>
          <w:rFonts w:ascii="黑体" w:eastAsia="黑体"/>
          <w:bCs/>
          <w:color w:val="auto"/>
          <w:sz w:val="30"/>
          <w:szCs w:val="30"/>
        </w:rPr>
        <w:t>以上教学成果奖</w:t>
      </w:r>
      <w:r>
        <w:rPr>
          <w:rFonts w:hint="eastAsia" w:ascii="黑体" w:eastAsia="黑体"/>
          <w:bCs/>
          <w:color w:val="auto"/>
          <w:sz w:val="30"/>
          <w:szCs w:val="30"/>
        </w:rPr>
        <w:t>（教育科学研究成果奖）</w:t>
      </w:r>
      <w:r>
        <w:rPr>
          <w:rFonts w:ascii="黑体" w:eastAsia="黑体"/>
          <w:bCs/>
          <w:color w:val="auto"/>
          <w:sz w:val="30"/>
          <w:szCs w:val="30"/>
        </w:rPr>
        <w:t>情况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890"/>
        <w:gridCol w:w="1470"/>
        <w:gridCol w:w="13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获奖名称及等级</w:t>
            </w: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颁奖部门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获奖时间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署名位次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3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3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rPr>
          <w:rFonts w:hint="eastAsia" w:ascii="黑体" w:eastAsia="黑体"/>
          <w:bCs/>
          <w:color w:val="auto"/>
          <w:sz w:val="32"/>
        </w:rPr>
      </w:pPr>
      <w:r>
        <w:rPr>
          <w:rFonts w:hint="eastAsia" w:ascii="黑体" w:eastAsia="黑体"/>
          <w:bCs/>
          <w:color w:val="auto"/>
          <w:sz w:val="32"/>
        </w:rPr>
        <w:t>八、教育思想及理论（申报教育名家、教育领军人才填写，字数控制在500字以内）：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3" w:hRule="atLeast"/>
        </w:trPr>
        <w:tc>
          <w:tcPr>
            <w:tcW w:w="8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</w:tbl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rPr>
          <w:rFonts w:ascii="仿宋_GB2312" w:eastAsia="仿宋_GB2312"/>
          <w:color w:val="auto"/>
        </w:rPr>
      </w:pPr>
    </w:p>
    <w:p>
      <w:pPr>
        <w:spacing w:line="360" w:lineRule="exact"/>
        <w:rPr>
          <w:rFonts w:ascii="楷体_GB2312" w:eastAsia="楷体_GB2312"/>
          <w:color w:val="auto"/>
          <w:sz w:val="28"/>
          <w:szCs w:val="28"/>
        </w:rPr>
      </w:pPr>
      <w:r>
        <w:rPr>
          <w:rFonts w:hint="eastAsia" w:ascii="黑体" w:eastAsia="黑体"/>
          <w:bCs/>
          <w:color w:val="auto"/>
          <w:sz w:val="32"/>
        </w:rPr>
        <w:t>九、个人发展专业报告</w:t>
      </w:r>
      <w:r>
        <w:rPr>
          <w:rFonts w:hint="eastAsia" w:ascii="楷体_GB2312" w:eastAsia="楷体_GB2312"/>
          <w:color w:val="auto"/>
          <w:sz w:val="28"/>
          <w:szCs w:val="28"/>
        </w:rPr>
        <w:t>（申报青年拔尖人才填写，要求准确务实，字数控制在2000字以内。报告要围绕教师专业标准，重点反映个人专业发展方面的能力与业绩，同时阐明下阶段的发展规划与努力方向。）</w:t>
      </w:r>
    </w:p>
    <w:tbl>
      <w:tblPr>
        <w:tblStyle w:val="6"/>
        <w:tblpPr w:leftFromText="180" w:rightFromText="180" w:vertAnchor="page" w:horzAnchor="page" w:tblpX="1615" w:tblpY="281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6" w:hRule="atLeast"/>
        </w:trPr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/>
                <w:bCs/>
                <w:color w:val="auto"/>
                <w:sz w:val="32"/>
              </w:rPr>
            </w:pPr>
          </w:p>
        </w:tc>
      </w:tr>
    </w:tbl>
    <w:p>
      <w:pPr>
        <w:rPr>
          <w:rFonts w:hint="eastAsia" w:ascii="黑体" w:eastAsia="黑体"/>
          <w:color w:val="auto"/>
          <w:sz w:val="32"/>
          <w:szCs w:val="32"/>
        </w:rPr>
      </w:pPr>
    </w:p>
    <w:p>
      <w:pPr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十、</w:t>
      </w:r>
      <w:r>
        <w:rPr>
          <w:rFonts w:hint="eastAsia" w:ascii="黑体" w:eastAsia="黑体"/>
          <w:bCs/>
          <w:color w:val="auto"/>
          <w:sz w:val="32"/>
        </w:rPr>
        <w:t>成果的交流推广</w:t>
      </w:r>
      <w:r>
        <w:rPr>
          <w:rFonts w:hint="eastAsia" w:ascii="仿宋_GB2312" w:eastAsia="仿宋_GB2312"/>
          <w:bCs/>
          <w:color w:val="auto"/>
          <w:sz w:val="32"/>
        </w:rPr>
        <w:t>（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外出讲学交流、开设公开课、示范课、指导薄弱学校建设等，以及主流媒体对其教育思想、办学成果的宣传报道情况</w:t>
      </w:r>
      <w:r>
        <w:rPr>
          <w:rFonts w:hint="eastAsia" w:ascii="仿宋_GB2312" w:eastAsia="仿宋_GB2312"/>
          <w:bCs/>
          <w:color w:val="auto"/>
          <w:sz w:val="32"/>
        </w:rPr>
        <w:t>）（每年</w:t>
      </w:r>
      <w:r>
        <w:rPr>
          <w:rFonts w:ascii="仿宋_GB2312" w:eastAsia="仿宋_GB2312"/>
          <w:bCs/>
          <w:color w:val="auto"/>
          <w:sz w:val="32"/>
        </w:rPr>
        <w:t>限报</w:t>
      </w:r>
      <w:r>
        <w:rPr>
          <w:rFonts w:hint="eastAsia" w:ascii="仿宋_GB2312" w:eastAsia="仿宋_GB2312"/>
          <w:bCs/>
          <w:color w:val="auto"/>
          <w:sz w:val="32"/>
        </w:rPr>
        <w:t>3次）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76"/>
        <w:gridCol w:w="1601"/>
        <w:gridCol w:w="2230"/>
        <w:gridCol w:w="173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授课时间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授课地点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授课题目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主办单位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听课对象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</w:tbl>
    <w:p>
      <w:pPr>
        <w:rPr>
          <w:color w:val="auto"/>
        </w:rPr>
        <w:sectPr>
          <w:footerReference r:id="rId7" w:type="default"/>
          <w:pgSz w:w="11906" w:h="16840"/>
          <w:pgMar w:top="1560" w:right="1340" w:bottom="1580" w:left="1480" w:header="0" w:footer="1387" w:gutter="0"/>
          <w:pgNumType w:start="20"/>
          <w:cols w:space="720" w:num="1"/>
          <w:docGrid w:linePitch="286" w:charSpace="0"/>
        </w:sectPr>
      </w:pPr>
    </w:p>
    <w:tbl>
      <w:tblPr>
        <w:tblStyle w:val="6"/>
        <w:tblW w:w="0" w:type="auto"/>
        <w:tblInd w:w="-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6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民意</w:t>
            </w:r>
          </w:p>
          <w:p>
            <w:pPr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测验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情况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</w:t>
            </w:r>
            <w:r>
              <w:rPr>
                <w:rFonts w:hint="eastAsia"/>
                <w:color w:val="auto"/>
                <w:sz w:val="24"/>
              </w:rPr>
              <w:t>单位</w:t>
            </w:r>
            <w:r>
              <w:rPr>
                <w:rFonts w:hint="eastAsia" w:hAnsi="宋体"/>
                <w:color w:val="auto"/>
                <w:sz w:val="24"/>
              </w:rPr>
              <w:t>（公章）</w:t>
            </w:r>
          </w:p>
          <w:p>
            <w:pPr>
              <w:spacing w:line="360" w:lineRule="auto"/>
              <w:ind w:firstLine="3840" w:firstLineChars="1600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 w:hAnsi="宋体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 w:hAnsi="宋体"/>
                <w:color w:val="auto"/>
                <w:sz w:val="24"/>
              </w:rPr>
              <w:t>日</w:t>
            </w:r>
            <w:r>
              <w:rPr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所在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单位</w:t>
            </w:r>
          </w:p>
          <w:p>
            <w:pPr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意见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color w:val="auto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  <w:r>
              <w:rPr>
                <w:rFonts w:hint="eastAsia" w:hAnsi="宋体"/>
                <w:color w:val="auto"/>
                <w:sz w:val="24"/>
              </w:rPr>
              <w:t>（公章）</w:t>
            </w:r>
          </w:p>
          <w:p>
            <w:pPr>
              <w:spacing w:line="360" w:lineRule="auto"/>
              <w:ind w:firstLine="3960" w:firstLineChars="1650"/>
              <w:rPr>
                <w:rFonts w:hint="eastAsia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 w:hAnsi="宋体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13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区教育局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意见</w:t>
            </w:r>
          </w:p>
        </w:tc>
        <w:tc>
          <w:tcPr>
            <w:tcW w:w="7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</w:t>
            </w:r>
            <w:r>
              <w:rPr>
                <w:rFonts w:hint="eastAsia" w:hAnsi="宋体"/>
                <w:color w:val="auto"/>
                <w:sz w:val="24"/>
              </w:rPr>
              <w:t>（公章）</w:t>
            </w:r>
          </w:p>
          <w:p>
            <w:pPr>
              <w:ind w:firstLine="3840" w:firstLineChars="1600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 w:hAnsi="宋体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区人才办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意见</w:t>
            </w:r>
          </w:p>
        </w:tc>
        <w:tc>
          <w:tcPr>
            <w:tcW w:w="7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750" w:firstLineChars="250"/>
              <w:rPr>
                <w:rFonts w:hint="eastAsia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经组织推荐、民意测评、专家评审、区委教育工委集体研究、区人才工作领导小组办公室主任会议审定、公示等程序。该同志入选</w:t>
            </w:r>
            <w:r>
              <w:rPr>
                <w:color w:val="auto"/>
                <w:sz w:val="30"/>
                <w:szCs w:val="30"/>
              </w:rPr>
              <w:t>20</w:t>
            </w: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/>
                <w:color w:val="auto"/>
                <w:sz w:val="30"/>
                <w:szCs w:val="30"/>
              </w:rPr>
              <w:t>年吴江区教育人才计划分层培养对象，被评为（</w:t>
            </w:r>
            <w:r>
              <w:rPr>
                <w:rFonts w:hint="eastAsia" w:hAnsi="华文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Ansi="华文仿宋"/>
                <w:color w:val="auto"/>
                <w:sz w:val="30"/>
                <w:szCs w:val="30"/>
              </w:rPr>
              <w:t xml:space="preserve">              </w:t>
            </w:r>
            <w:r>
              <w:rPr>
                <w:rFonts w:hint="eastAsia"/>
                <w:color w:val="auto"/>
                <w:sz w:val="30"/>
                <w:szCs w:val="30"/>
              </w:rPr>
              <w:t>）。</w:t>
            </w:r>
          </w:p>
          <w:p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</w:rPr>
              <w:t>（公章）</w:t>
            </w:r>
          </w:p>
          <w:p>
            <w:pPr>
              <w:ind w:firstLine="3840" w:firstLineChars="1600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 w:hAnsi="宋体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 w:hAnsi="宋体"/>
                <w:color w:val="auto"/>
                <w:sz w:val="24"/>
              </w:rPr>
              <w:t>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GY3OWJiYjQ0OTZlNjQyODMwNzQ3MGI5ZGM0N2EifQ=="/>
  </w:docVars>
  <w:rsids>
    <w:rsidRoot w:val="1A627563"/>
    <w:rsid w:val="1A627563"/>
    <w:rsid w:val="330B7ABF"/>
    <w:rsid w:val="349D49F2"/>
    <w:rsid w:val="41EB4FF5"/>
    <w:rsid w:val="469B24C6"/>
    <w:rsid w:val="50B52A64"/>
    <w:rsid w:val="69204E49"/>
    <w:rsid w:val="71F955FE"/>
    <w:rsid w:val="7696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20" w:line="264" w:lineRule="auto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autoSpaceDE w:val="0"/>
      <w:autoSpaceDN w:val="0"/>
      <w:adjustRightInd w:val="0"/>
      <w:ind w:left="110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2"/>
    <w:basedOn w:val="1"/>
    <w:autoRedefine/>
    <w:qFormat/>
    <w:uiPriority w:val="1"/>
    <w:pPr>
      <w:autoSpaceDE w:val="0"/>
      <w:autoSpaceDN w:val="0"/>
      <w:adjustRightInd w:val="0"/>
      <w:jc w:val="left"/>
      <w:outlineLvl w:val="1"/>
    </w:pPr>
    <w:rPr>
      <w:rFonts w:ascii="方正小标宋简体" w:eastAsia="方正小标宋简体" w:cs="方正小标宋简体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2021-11-24T00:53:00Z</dcterms:created>
  <dc:creator>Carrot</dc:creator>
  <cp:lastModifiedBy>mango fish</cp:lastModifiedBy>
  <dcterms:modified xsi:type="dcterms:W3CDTF">2024-04-08T07:56:14Z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3AE1EE8B9A654B659B7ADCB46198CC26</vt:lpwstr>
  </property>
</Properties>
</file>